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D77" w:rsidRPr="00905451" w:rsidRDefault="00DC05B0" w:rsidP="00290B55">
      <w:pPr>
        <w:pStyle w:val="Heading110"/>
        <w:shd w:val="clear" w:color="auto" w:fill="auto"/>
        <w:spacing w:after="120" w:line="276" w:lineRule="auto"/>
        <w:rPr>
          <w:color w:val="000000"/>
        </w:rPr>
      </w:pPr>
      <w:bookmarkStart w:id="0" w:name="bookmark0"/>
      <w:r w:rsidRPr="00905451">
        <w:rPr>
          <w:color w:val="000000"/>
        </w:rPr>
        <w:t>Simulácia opatrení</w:t>
      </w:r>
      <w:r w:rsidR="00905451">
        <w:rPr>
          <w:color w:val="000000"/>
        </w:rPr>
        <w:t xml:space="preserve"> v </w:t>
      </w:r>
      <w:r w:rsidRPr="00905451">
        <w:rPr>
          <w:color w:val="000000"/>
        </w:rPr>
        <w:t>oblasti klímy: rozvinuté krajiny</w:t>
      </w:r>
      <w:bookmarkEnd w:id="0"/>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1134"/>
        <w:gridCol w:w="5953"/>
      </w:tblGrid>
      <w:tr w:rsidR="004D0CFD" w:rsidRPr="00905451" w:rsidTr="00290B55">
        <w:trPr>
          <w:trHeight w:val="725"/>
        </w:trPr>
        <w:tc>
          <w:tcPr>
            <w:tcW w:w="2660" w:type="dxa"/>
            <w:vMerge w:val="restart"/>
          </w:tcPr>
          <w:p w:rsidR="004D0CFD" w:rsidRPr="00905451" w:rsidRDefault="0091067F" w:rsidP="004D0CFD">
            <w:pPr>
              <w:rPr>
                <w:sz w:val="16"/>
                <w:szCs w:val="16"/>
              </w:rPr>
            </w:pPr>
            <w:r w:rsidRPr="00905451">
              <w:rPr>
                <w:sz w:val="16"/>
                <w:szCs w:val="16"/>
                <w:lang w:eastAsia="en-GB"/>
              </w:rPr>
              <w:drawing>
                <wp:anchor distT="0" distB="0" distL="63500" distR="63500" simplePos="0" relativeHeight="377491201" behindDoc="1" locked="0" layoutInCell="1" allowOverlap="1" wp14:anchorId="5D1C1C7E" wp14:editId="1A7E0416">
                  <wp:simplePos x="0" y="0"/>
                  <wp:positionH relativeFrom="margin">
                    <wp:posOffset>-13970</wp:posOffset>
                  </wp:positionH>
                  <wp:positionV relativeFrom="paragraph">
                    <wp:posOffset>40640</wp:posOffset>
                  </wp:positionV>
                  <wp:extent cx="1615440" cy="871855"/>
                  <wp:effectExtent l="0" t="0" r="3810" b="4445"/>
                  <wp:wrapSquare wrapText="bothSides"/>
                  <wp:docPr id="6" name="Picture 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5440" cy="871855"/>
                          </a:xfrm>
                          <a:prstGeom prst="rect">
                            <a:avLst/>
                          </a:prstGeom>
                          <a:noFill/>
                        </pic:spPr>
                      </pic:pic>
                    </a:graphicData>
                  </a:graphic>
                  <wp14:sizeRelH relativeFrom="page">
                    <wp14:pctWidth>0</wp14:pctWidth>
                  </wp14:sizeRelH>
                  <wp14:sizeRelV relativeFrom="page">
                    <wp14:pctHeight>0</wp14:pctHeight>
                  </wp14:sizeRelV>
                </wp:anchor>
              </w:drawing>
            </w:r>
          </w:p>
        </w:tc>
        <w:tc>
          <w:tcPr>
            <w:tcW w:w="1134" w:type="dxa"/>
          </w:tcPr>
          <w:p w:rsidR="004D0CFD" w:rsidRPr="00905451" w:rsidRDefault="004D0CFD" w:rsidP="00290B55">
            <w:pPr>
              <w:spacing w:before="120"/>
              <w:rPr>
                <w:b/>
              </w:rPr>
            </w:pPr>
            <w:r w:rsidRPr="00905451">
              <w:rPr>
                <w:b/>
                <w:color w:val="000000"/>
              </w:rPr>
              <w:t xml:space="preserve">Adresáti: </w:t>
            </w:r>
          </w:p>
        </w:tc>
        <w:tc>
          <w:tcPr>
            <w:tcW w:w="5953" w:type="dxa"/>
          </w:tcPr>
          <w:p w:rsidR="004D0CFD" w:rsidRPr="00905451" w:rsidRDefault="004D0CFD" w:rsidP="00290B55">
            <w:pPr>
              <w:spacing w:before="120"/>
              <w:rPr>
                <w:b/>
                <w:color w:val="000000"/>
              </w:rPr>
            </w:pPr>
            <w:r w:rsidRPr="00905451">
              <w:rPr>
                <w:b/>
                <w:color w:val="000000"/>
              </w:rPr>
              <w:t>Hlavní vyjednávači za rozvinuté krajiny</w:t>
            </w:r>
          </w:p>
          <w:p w:rsidR="004D0CFD" w:rsidRPr="00905451" w:rsidRDefault="004D0CFD" w:rsidP="004D0CFD">
            <w:r w:rsidRPr="00905451">
              <w:rPr>
                <w:color w:val="000000"/>
              </w:rPr>
              <w:t>(USA, Kanada, Európska únia, Japonsko, Rusko</w:t>
            </w:r>
            <w:r w:rsidR="00905451">
              <w:rPr>
                <w:color w:val="000000"/>
              </w:rPr>
              <w:t xml:space="preserve"> a </w:t>
            </w:r>
            <w:r w:rsidRPr="00905451">
              <w:rPr>
                <w:color w:val="000000"/>
              </w:rPr>
              <w:t>ostatné bývalé sovietske republiky, Južná Kórea, Austrália, Nový Zéland)</w:t>
            </w:r>
          </w:p>
        </w:tc>
      </w:tr>
      <w:tr w:rsidR="004D0CFD" w:rsidRPr="00905451" w:rsidTr="00290B55">
        <w:trPr>
          <w:trHeight w:val="725"/>
        </w:trPr>
        <w:tc>
          <w:tcPr>
            <w:tcW w:w="2660" w:type="dxa"/>
            <w:vMerge/>
          </w:tcPr>
          <w:p w:rsidR="004D0CFD" w:rsidRPr="00905451" w:rsidRDefault="004D0CFD" w:rsidP="004D0CFD">
            <w:pPr>
              <w:rPr>
                <w:lang w:bidi="en-US"/>
              </w:rPr>
            </w:pPr>
          </w:p>
        </w:tc>
        <w:tc>
          <w:tcPr>
            <w:tcW w:w="1134" w:type="dxa"/>
          </w:tcPr>
          <w:p w:rsidR="004D0CFD" w:rsidRPr="00905451" w:rsidRDefault="004D0CFD" w:rsidP="00290B55">
            <w:pPr>
              <w:spacing w:before="120"/>
              <w:rPr>
                <w:b/>
                <w:color w:val="000000"/>
              </w:rPr>
            </w:pPr>
            <w:r w:rsidRPr="00905451">
              <w:rPr>
                <w:b/>
                <w:color w:val="000000"/>
              </w:rPr>
              <w:t>Vec:</w:t>
            </w:r>
          </w:p>
        </w:tc>
        <w:tc>
          <w:tcPr>
            <w:tcW w:w="5953" w:type="dxa"/>
          </w:tcPr>
          <w:p w:rsidR="004D0CFD" w:rsidRPr="00905451" w:rsidRDefault="004D0CFD" w:rsidP="00290B55">
            <w:pPr>
              <w:spacing w:before="120"/>
              <w:rPr>
                <w:b/>
                <w:color w:val="000000"/>
              </w:rPr>
            </w:pPr>
            <w:r w:rsidRPr="00905451">
              <w:rPr>
                <w:b/>
                <w:color w:val="000000"/>
              </w:rPr>
              <w:t>Príprava klimatického samitu</w:t>
            </w:r>
          </w:p>
        </w:tc>
      </w:tr>
    </w:tbl>
    <w:p w:rsidR="004D0CFD" w:rsidRPr="00905451" w:rsidRDefault="004D0CFD" w:rsidP="00290B55"/>
    <w:p w:rsidR="002C1D77" w:rsidRPr="00905451" w:rsidRDefault="00DC05B0" w:rsidP="00290B55">
      <w:pPr>
        <w:spacing w:after="120"/>
      </w:pPr>
      <w:r w:rsidRPr="00905451">
        <w:t>Vitajte na klimatickom samite. Generálny tajomník OSN vás, ako aj vedúcich predstaviteľov všetkých príslušných zainteresovaných strán vyzval, aby ste spoločne našli riešenie</w:t>
      </w:r>
      <w:r w:rsidR="00905451">
        <w:t xml:space="preserve"> v </w:t>
      </w:r>
      <w:r w:rsidRPr="00905451">
        <w:t>súvislosti</w:t>
      </w:r>
      <w:r w:rsidR="00905451">
        <w:t xml:space="preserve"> s </w:t>
      </w:r>
      <w:r w:rsidRPr="00905451">
        <w:t xml:space="preserve">bojom proti zmene klímy. Vo svojej výzve </w:t>
      </w:r>
      <w:r w:rsidRPr="00905451">
        <w:rPr>
          <w:rStyle w:val="Bodytext2"/>
        </w:rPr>
        <w:t>poznamenal</w:t>
      </w:r>
      <w:r w:rsidRPr="00905451">
        <w:t>, že „stav klimatickej núdze je súbojom</w:t>
      </w:r>
      <w:r w:rsidR="00905451">
        <w:t xml:space="preserve"> s </w:t>
      </w:r>
      <w:r w:rsidRPr="00905451">
        <w:t>časom, ktorý síce zatiaľ prehrávame, ale ešte ho môžeme vyhrať. Poprední vedci [...] uvádzajú, že zvýšenie teploty nad 1,5 °C spôsobí rozsiahle</w:t>
      </w:r>
      <w:r w:rsidR="00905451">
        <w:t xml:space="preserve"> a </w:t>
      </w:r>
      <w:r w:rsidRPr="00905451">
        <w:t>nezvratné škody na ekosystémoch, od ktorých závisíme. Podľa vedcov však zároveň ešte nie je príliš neskoro. Môžeme to dokázať. Bude si to ale vyžadovať zásadné zmeny vo všetkých aspektoch života našej spoločnosti: či už ide</w:t>
      </w:r>
      <w:r w:rsidR="00905451">
        <w:t xml:space="preserve"> o </w:t>
      </w:r>
      <w:r w:rsidRPr="00905451">
        <w:t>spôsob, ako dorábame potraviny</w:t>
      </w:r>
      <w:r w:rsidR="00905451">
        <w:t xml:space="preserve"> a </w:t>
      </w:r>
      <w:r w:rsidRPr="00905451">
        <w:t>využívame pôdu, alebo</w:t>
      </w:r>
      <w:r w:rsidR="00905451">
        <w:t xml:space="preserve"> o </w:t>
      </w:r>
      <w:r w:rsidRPr="00905451">
        <w:t>to, akým palivom poháňame naše stroje</w:t>
      </w:r>
      <w:r w:rsidR="00905451">
        <w:t xml:space="preserve"> a </w:t>
      </w:r>
      <w:r w:rsidRPr="00905451">
        <w:t>aká energia je základom nášho hospodárstva. Ak budeme postupovať spoločne, na nikoho sa nezabudne.“</w:t>
      </w:r>
    </w:p>
    <w:p w:rsidR="002C1D77" w:rsidRPr="00905451" w:rsidRDefault="00DC05B0" w:rsidP="000A6D24">
      <w:pPr>
        <w:spacing w:after="120" w:line="276" w:lineRule="auto"/>
      </w:pPr>
      <w:r w:rsidRPr="00905451">
        <w:rPr>
          <w:color w:val="000000"/>
        </w:rPr>
        <w:t>Cieľom samitu je vypracovať plá</w:t>
      </w:r>
      <w:bookmarkStart w:id="1" w:name="_GoBack"/>
      <w:bookmarkEnd w:id="1"/>
      <w:r w:rsidRPr="00905451">
        <w:rPr>
          <w:color w:val="000000"/>
        </w:rPr>
        <w:t>n na obmedzenie globálneho otepľovania na menej ako 2 °C</w:t>
      </w:r>
      <w:r w:rsidR="00905451">
        <w:rPr>
          <w:color w:val="000000"/>
        </w:rPr>
        <w:t xml:space="preserve"> v </w:t>
      </w:r>
      <w:r w:rsidRPr="00905451">
        <w:rPr>
          <w:color w:val="000000"/>
        </w:rPr>
        <w:t>porovnaní</w:t>
      </w:r>
      <w:r w:rsidR="00905451">
        <w:rPr>
          <w:color w:val="000000"/>
        </w:rPr>
        <w:t xml:space="preserve"> s </w:t>
      </w:r>
      <w:proofErr w:type="spellStart"/>
      <w:r w:rsidRPr="00905451">
        <w:rPr>
          <w:color w:val="000000"/>
        </w:rPr>
        <w:t>predindustriálnou</w:t>
      </w:r>
      <w:proofErr w:type="spellEnd"/>
      <w:r w:rsidRPr="00905451">
        <w:rPr>
          <w:color w:val="000000"/>
        </w:rPr>
        <w:t xml:space="preserve"> úrovňou</w:t>
      </w:r>
      <w:r w:rsidR="00905451">
        <w:rPr>
          <w:color w:val="000000"/>
        </w:rPr>
        <w:t xml:space="preserve"> a </w:t>
      </w:r>
      <w:r w:rsidRPr="00905451">
        <w:rPr>
          <w:color w:val="000000"/>
        </w:rPr>
        <w:t>usilovať sa</w:t>
      </w:r>
      <w:r w:rsidR="00905451">
        <w:rPr>
          <w:color w:val="000000"/>
        </w:rPr>
        <w:t xml:space="preserve"> o </w:t>
      </w:r>
      <w:r w:rsidRPr="00905451">
        <w:rPr>
          <w:color w:val="000000"/>
        </w:rPr>
        <w:t>obmedzenie zvýšenia teploty na 1,5 °C, čo sú medzinárodné ciele formálne uznané</w:t>
      </w:r>
      <w:r w:rsidR="00905451">
        <w:rPr>
          <w:color w:val="000000"/>
        </w:rPr>
        <w:t xml:space="preserve"> v </w:t>
      </w:r>
      <w:r w:rsidRPr="00905451">
        <w:rPr>
          <w:color w:val="000000"/>
        </w:rPr>
        <w:t>Parížskej dohode</w:t>
      </w:r>
      <w:r w:rsidR="00905451">
        <w:rPr>
          <w:color w:val="000000"/>
        </w:rPr>
        <w:t xml:space="preserve"> o </w:t>
      </w:r>
      <w:r w:rsidRPr="00905451">
        <w:rPr>
          <w:color w:val="000000"/>
        </w:rPr>
        <w:t xml:space="preserve">zmene klímy. </w:t>
      </w:r>
      <w:r w:rsidRPr="00905451">
        <w:rPr>
          <w:rStyle w:val="Bodytext2"/>
        </w:rPr>
        <w:t>Vedecké dôkazy</w:t>
      </w:r>
      <w:r w:rsidRPr="00905451">
        <w:t xml:space="preserve"> </w:t>
      </w:r>
      <w:r w:rsidRPr="00905451">
        <w:rPr>
          <w:color w:val="000000"/>
        </w:rPr>
        <w:t>sú jednoznačné: oteplenie nad túto hranicu bude znamenať katastrofické</w:t>
      </w:r>
      <w:r w:rsidR="00905451">
        <w:rPr>
          <w:color w:val="000000"/>
        </w:rPr>
        <w:t xml:space="preserve"> a </w:t>
      </w:r>
      <w:r w:rsidRPr="00905451">
        <w:rPr>
          <w:color w:val="000000"/>
        </w:rPr>
        <w:t>nezvratné dôsledky ohrozujúce zdravie, prosperitu</w:t>
      </w:r>
      <w:r w:rsidR="00905451">
        <w:rPr>
          <w:color w:val="000000"/>
        </w:rPr>
        <w:t xml:space="preserve"> a </w:t>
      </w:r>
      <w:r w:rsidRPr="00905451">
        <w:rPr>
          <w:color w:val="000000"/>
        </w:rPr>
        <w:t>život ľudí na celom svete.</w:t>
      </w:r>
    </w:p>
    <w:p w:rsidR="002C1D77" w:rsidRPr="00905451" w:rsidRDefault="00DC05B0" w:rsidP="00290B55">
      <w:pPr>
        <w:spacing w:after="120" w:line="276" w:lineRule="auto"/>
      </w:pPr>
      <w:r w:rsidRPr="00905451">
        <w:rPr>
          <w:color w:val="000000"/>
        </w:rPr>
        <w:t>Vaša skupina zastupuje rozvinuté krajiny sveta (uvedené vyššie). Vaše krajiny majú spolu 1,3 miliardy obyvateľov, čo je približne 17</w:t>
      </w:r>
      <w:r w:rsidR="00905451">
        <w:rPr>
          <w:color w:val="000000"/>
        </w:rPr>
        <w:t> %</w:t>
      </w:r>
      <w:r w:rsidRPr="00905451">
        <w:rPr>
          <w:color w:val="000000"/>
        </w:rPr>
        <w:t xml:space="preserve"> zo 7,7 miliardy ľudí na svete. Spolu však vaše krajiny vytvárajú 60</w:t>
      </w:r>
      <w:r w:rsidR="00905451">
        <w:rPr>
          <w:color w:val="000000"/>
        </w:rPr>
        <w:t> %</w:t>
      </w:r>
      <w:r w:rsidRPr="00905451">
        <w:rPr>
          <w:color w:val="000000"/>
        </w:rPr>
        <w:t xml:space="preserve"> svetovej hospodárskej produkcie</w:t>
      </w:r>
      <w:r w:rsidR="00905451">
        <w:rPr>
          <w:color w:val="000000"/>
        </w:rPr>
        <w:t xml:space="preserve"> a </w:t>
      </w:r>
      <w:r w:rsidRPr="00905451">
        <w:rPr>
          <w:color w:val="000000"/>
        </w:rPr>
        <w:t>majú najvyšší HDP (hrubý domáci produkt) na obyvateľa.</w:t>
      </w:r>
    </w:p>
    <w:p w:rsidR="002C1D77" w:rsidRPr="00905451" w:rsidRDefault="00DC05B0" w:rsidP="00290B55">
      <w:pPr>
        <w:spacing w:after="120" w:line="276" w:lineRule="auto"/>
      </w:pPr>
      <w:r w:rsidRPr="00905451">
        <w:rPr>
          <w:color w:val="000000"/>
        </w:rPr>
        <w:t>Politické priority vašej skupiny sa uvádzajú ďalej, môžete však navrhnúť alebo zablokovať akékoľvek iné politické opatrenie:</w:t>
      </w:r>
    </w:p>
    <w:p w:rsidR="002C1D77" w:rsidRPr="00905451" w:rsidRDefault="00DC05B0" w:rsidP="00290B55">
      <w:pPr>
        <w:numPr>
          <w:ilvl w:val="0"/>
          <w:numId w:val="1"/>
        </w:numPr>
        <w:spacing w:after="120" w:line="276" w:lineRule="auto"/>
        <w:ind w:left="403" w:hanging="403"/>
      </w:pPr>
      <w:r w:rsidRPr="00905451">
        <w:rPr>
          <w:b/>
          <w:color w:val="000000"/>
        </w:rPr>
        <w:t>Dotovať energiu</w:t>
      </w:r>
      <w:r w:rsidR="00905451">
        <w:rPr>
          <w:b/>
          <w:color w:val="000000"/>
        </w:rPr>
        <w:t xml:space="preserve"> z </w:t>
      </w:r>
      <w:r w:rsidRPr="00905451">
        <w:rPr>
          <w:b/>
          <w:color w:val="000000"/>
        </w:rPr>
        <w:t>obnoviteľných zdrojov (napr. slnečnú, veternú, geotermálnu, vodnú energiu</w:t>
      </w:r>
      <w:r w:rsidR="00905451">
        <w:rPr>
          <w:b/>
          <w:color w:val="000000"/>
        </w:rPr>
        <w:t xml:space="preserve"> a </w:t>
      </w:r>
      <w:r w:rsidRPr="00905451">
        <w:rPr>
          <w:b/>
          <w:color w:val="000000"/>
        </w:rPr>
        <w:t>ich akumuláciu).</w:t>
      </w:r>
      <w:r w:rsidRPr="00905451">
        <w:rPr>
          <w:color w:val="000000"/>
        </w:rPr>
        <w:t xml:space="preserve"> </w:t>
      </w:r>
      <w:r w:rsidRPr="00905451">
        <w:t>Odvetvie energie</w:t>
      </w:r>
      <w:r w:rsidR="00905451">
        <w:t xml:space="preserve"> z </w:t>
      </w:r>
      <w:r w:rsidRPr="00905451">
        <w:t>obnoviteľných zdrojov rýchlo rastie, ale stále predstavuje menej ako 5</w:t>
      </w:r>
      <w:r w:rsidR="00905451">
        <w:t> %</w:t>
      </w:r>
      <w:r w:rsidRPr="00905451">
        <w:t xml:space="preserve"> svetových dodávok energie. Dotácie pomôžu týmto odvetviam rásť</w:t>
      </w:r>
      <w:r w:rsidR="00905451">
        <w:t xml:space="preserve"> a </w:t>
      </w:r>
      <w:r w:rsidRPr="00905451">
        <w:t>vytvárať pracovné miesta vo vašich krajinách (ak dokážete dobehnúť vývoj</w:t>
      </w:r>
      <w:r w:rsidR="00905451">
        <w:t xml:space="preserve"> v </w:t>
      </w:r>
      <w:r w:rsidRPr="00905451">
        <w:t>oblasti veterných, solárnych</w:t>
      </w:r>
      <w:r w:rsidR="00905451">
        <w:t xml:space="preserve"> a </w:t>
      </w:r>
      <w:r w:rsidRPr="00905451">
        <w:t>akumulátorových technológií</w:t>
      </w:r>
      <w:r w:rsidR="00905451">
        <w:t xml:space="preserve"> v </w:t>
      </w:r>
      <w:r w:rsidRPr="00905451">
        <w:t>Číne</w:t>
      </w:r>
      <w:r w:rsidR="00905451">
        <w:t xml:space="preserve"> a </w:t>
      </w:r>
      <w:r w:rsidRPr="00905451">
        <w:t>iných rozvojových krajinách). Akumulácia elektrickej energie (napr. elektrická</w:t>
      </w:r>
      <w:r w:rsidR="00905451">
        <w:t xml:space="preserve"> a </w:t>
      </w:r>
      <w:r w:rsidRPr="00905451">
        <w:t>tepelná akumulácia, prečerpávacie vodné elektrárne)</w:t>
      </w:r>
      <w:r w:rsidR="00905451">
        <w:t xml:space="preserve"> a </w:t>
      </w:r>
      <w:r w:rsidRPr="00905451">
        <w:t>technológie inteligentných sietí umožňujú, aby sa premenlivé obnoviteľné zdroje energie, ako je veterná</w:t>
      </w:r>
      <w:r w:rsidR="00905451">
        <w:t xml:space="preserve"> a </w:t>
      </w:r>
      <w:r w:rsidRPr="00905451">
        <w:t>slnečná energia, začlenili do energetickej sústavy</w:t>
      </w:r>
      <w:r w:rsidR="00905451">
        <w:t xml:space="preserve"> a </w:t>
      </w:r>
      <w:r w:rsidRPr="00905451">
        <w:t>zabezpečovali dodávky elektriny 24 hodín denne.</w:t>
      </w:r>
    </w:p>
    <w:p w:rsidR="002C1D77" w:rsidRPr="00905451" w:rsidRDefault="00DC05B0" w:rsidP="00290B55">
      <w:pPr>
        <w:numPr>
          <w:ilvl w:val="0"/>
          <w:numId w:val="1"/>
        </w:numPr>
        <w:spacing w:after="120" w:line="276" w:lineRule="auto"/>
        <w:ind w:left="403" w:hanging="403"/>
        <w:rPr>
          <w:b/>
        </w:rPr>
      </w:pPr>
      <w:r w:rsidRPr="00905451">
        <w:rPr>
          <w:rStyle w:val="Bodytext2Bold"/>
        </w:rPr>
        <w:t>Obmedziť odlesňovanie.</w:t>
      </w:r>
      <w:r w:rsidRPr="00905451">
        <w:t xml:space="preserve"> </w:t>
      </w:r>
      <w:r w:rsidRPr="00905451">
        <w:rPr>
          <w:color w:val="000000"/>
        </w:rPr>
        <w:t>Odlesňovanie</w:t>
      </w:r>
      <w:r w:rsidR="00905451">
        <w:rPr>
          <w:color w:val="000000"/>
        </w:rPr>
        <w:t xml:space="preserve"> v </w:t>
      </w:r>
      <w:r w:rsidRPr="00905451">
        <w:rPr>
          <w:color w:val="000000"/>
        </w:rPr>
        <w:t>súčasnosti spôsobuje približne 15</w:t>
      </w:r>
      <w:r w:rsidR="00905451">
        <w:rPr>
          <w:color w:val="000000"/>
        </w:rPr>
        <w:t> %</w:t>
      </w:r>
      <w:r w:rsidRPr="00905451">
        <w:rPr>
          <w:color w:val="000000"/>
        </w:rPr>
        <w:t xml:space="preserve"> celosvetových emisií skleníkových plynov.</w:t>
      </w:r>
      <w:r w:rsidR="00905451">
        <w:rPr>
          <w:color w:val="000000"/>
        </w:rPr>
        <w:t xml:space="preserve"> K </w:t>
      </w:r>
      <w:r w:rsidRPr="00905451">
        <w:rPr>
          <w:color w:val="000000"/>
        </w:rPr>
        <w:t>odlesňovaniu dochádza</w:t>
      </w:r>
      <w:r w:rsidR="00905451">
        <w:rPr>
          <w:color w:val="000000"/>
        </w:rPr>
        <w:t xml:space="preserve"> z </w:t>
      </w:r>
      <w:r w:rsidRPr="00905451">
        <w:rPr>
          <w:color w:val="000000"/>
        </w:rPr>
        <w:t>veľkej časti</w:t>
      </w:r>
      <w:r w:rsidR="00905451">
        <w:rPr>
          <w:color w:val="000000"/>
        </w:rPr>
        <w:t xml:space="preserve"> v </w:t>
      </w:r>
      <w:r w:rsidRPr="00905451">
        <w:rPr>
          <w:color w:val="000000"/>
        </w:rPr>
        <w:t>tropických lesoch rozvojových krajín vrátane povodia Amazonky,</w:t>
      </w:r>
      <w:r w:rsidR="00905451">
        <w:rPr>
          <w:color w:val="000000"/>
        </w:rPr>
        <w:t xml:space="preserve"> v </w:t>
      </w:r>
      <w:r w:rsidRPr="00905451">
        <w:rPr>
          <w:color w:val="000000"/>
        </w:rPr>
        <w:t>Afrike</w:t>
      </w:r>
      <w:r w:rsidR="00905451">
        <w:rPr>
          <w:color w:val="000000"/>
        </w:rPr>
        <w:t xml:space="preserve"> a </w:t>
      </w:r>
      <w:r w:rsidRPr="00905451">
        <w:rPr>
          <w:color w:val="000000"/>
        </w:rPr>
        <w:t>južnej</w:t>
      </w:r>
      <w:r w:rsidR="00905451">
        <w:rPr>
          <w:color w:val="000000"/>
        </w:rPr>
        <w:t xml:space="preserve"> a </w:t>
      </w:r>
      <w:r w:rsidRPr="00905451">
        <w:rPr>
          <w:color w:val="000000"/>
        </w:rPr>
        <w:t>juhovýchodnej Ázii. Ochrana lesov môže znížiť tieto emisie</w:t>
      </w:r>
      <w:r w:rsidR="00905451">
        <w:rPr>
          <w:color w:val="000000"/>
        </w:rPr>
        <w:t xml:space="preserve"> a </w:t>
      </w:r>
      <w:r w:rsidRPr="00905451">
        <w:rPr>
          <w:color w:val="000000"/>
        </w:rPr>
        <w:t>zároveň zachovať biodiverzitu</w:t>
      </w:r>
      <w:r w:rsidR="00905451">
        <w:rPr>
          <w:color w:val="000000"/>
        </w:rPr>
        <w:t xml:space="preserve"> a </w:t>
      </w:r>
      <w:r w:rsidRPr="00905451">
        <w:rPr>
          <w:color w:val="000000"/>
        </w:rPr>
        <w:t>chrániť zásoby vody.</w:t>
      </w:r>
    </w:p>
    <w:p w:rsidR="002C1D77" w:rsidRPr="00905451" w:rsidRDefault="00DC05B0" w:rsidP="00290B55">
      <w:pPr>
        <w:numPr>
          <w:ilvl w:val="0"/>
          <w:numId w:val="1"/>
        </w:numPr>
        <w:spacing w:after="120" w:line="276" w:lineRule="auto"/>
        <w:ind w:left="403" w:hanging="403"/>
        <w:rPr>
          <w:b/>
        </w:rPr>
      </w:pPr>
      <w:r w:rsidRPr="00905451">
        <w:rPr>
          <w:rStyle w:val="Bodytext2Bold"/>
        </w:rPr>
        <w:t xml:space="preserve">Zvážiť zalesňovanie. </w:t>
      </w:r>
      <w:r w:rsidRPr="00905451">
        <w:rPr>
          <w:color w:val="000000"/>
        </w:rPr>
        <w:t>Zalesňovanie je rast nových lesov na pôde bez stromového porastu; niekedy ide</w:t>
      </w:r>
      <w:r w:rsidR="00905451">
        <w:rPr>
          <w:color w:val="000000"/>
        </w:rPr>
        <w:t xml:space="preserve"> o </w:t>
      </w:r>
      <w:r w:rsidRPr="00905451">
        <w:rPr>
          <w:color w:val="000000"/>
        </w:rPr>
        <w:t xml:space="preserve">pôdu, ktorá bola predtým odlesnená alebo degradovaná. </w:t>
      </w:r>
      <w:r w:rsidRPr="00905451">
        <w:t>Ako stromy rastú, zachytáva sa CO</w:t>
      </w:r>
      <w:r w:rsidRPr="00905451">
        <w:rPr>
          <w:color w:val="000000"/>
          <w:vertAlign w:val="subscript"/>
        </w:rPr>
        <w:t>2</w:t>
      </w:r>
      <w:r w:rsidR="00905451">
        <w:t xml:space="preserve"> z </w:t>
      </w:r>
      <w:r w:rsidRPr="00905451">
        <w:t>atmosféry</w:t>
      </w:r>
      <w:r w:rsidR="00905451">
        <w:t xml:space="preserve"> a </w:t>
      </w:r>
      <w:r w:rsidRPr="00905451">
        <w:t>uskladňuje sa</w:t>
      </w:r>
      <w:r w:rsidR="00905451">
        <w:t xml:space="preserve"> v </w:t>
      </w:r>
      <w:r w:rsidRPr="00905451">
        <w:t>biomase</w:t>
      </w:r>
      <w:r w:rsidR="00905451">
        <w:t xml:space="preserve"> a </w:t>
      </w:r>
      <w:r w:rsidRPr="00905451">
        <w:t>pôde.</w:t>
      </w:r>
      <w:r w:rsidRPr="00905451">
        <w:rPr>
          <w:color w:val="000000"/>
        </w:rPr>
        <w:t xml:space="preserve"> Ak by sa zalesňovanie uskutočňovalo vo veľkom rozsahu, mohlo by sa stať, že sa naň bude využívať pôda potrebná na pestovanie plodín alebo chov hospodárskych zvierat, čím by sa zvýšili ceny potravín. Zvážte, koľko pôdy by si vyžadovali politiky zalesňovania, ktoré navrhujete vy</w:t>
      </w:r>
      <w:r w:rsidR="00905451">
        <w:rPr>
          <w:color w:val="000000"/>
        </w:rPr>
        <w:t xml:space="preserve"> a </w:t>
      </w:r>
      <w:r w:rsidRPr="00905451">
        <w:rPr>
          <w:color w:val="000000"/>
        </w:rPr>
        <w:t>iné skupiny.</w:t>
      </w:r>
    </w:p>
    <w:p w:rsidR="002C1D77" w:rsidRPr="00905451" w:rsidRDefault="00DC05B0" w:rsidP="00290B55">
      <w:pPr>
        <w:numPr>
          <w:ilvl w:val="0"/>
          <w:numId w:val="1"/>
        </w:numPr>
        <w:spacing w:after="120" w:line="276" w:lineRule="auto"/>
        <w:ind w:left="400" w:hanging="400"/>
      </w:pPr>
      <w:r w:rsidRPr="00905451">
        <w:rPr>
          <w:b/>
          <w:color w:val="000000"/>
        </w:rPr>
        <w:lastRenderedPageBreak/>
        <w:t>Znižovať emisie metánu, oxidu dusného</w:t>
      </w:r>
      <w:r w:rsidR="00905451">
        <w:rPr>
          <w:b/>
          <w:color w:val="000000"/>
        </w:rPr>
        <w:t xml:space="preserve"> a </w:t>
      </w:r>
      <w:r w:rsidRPr="00905451">
        <w:rPr>
          <w:b/>
          <w:color w:val="000000"/>
        </w:rPr>
        <w:t>iných skleníkových plynov.</w:t>
      </w:r>
      <w:r w:rsidRPr="00905451">
        <w:t xml:space="preserve"> CO</w:t>
      </w:r>
      <w:r w:rsidRPr="00905451">
        <w:rPr>
          <w:vertAlign w:val="subscript"/>
        </w:rPr>
        <w:t>2</w:t>
      </w:r>
      <w:r w:rsidRPr="00905451">
        <w:t xml:space="preserve"> je najvýznamnejším skleníkovým plynom, ale iné plyny prispievajú ku globálnemu otepľovaniu približne 25</w:t>
      </w:r>
      <w:r w:rsidR="00905451">
        <w:t> %</w:t>
      </w:r>
      <w:r w:rsidRPr="00905451">
        <w:t>. Patrí sem metán (CH</w:t>
      </w:r>
      <w:r w:rsidRPr="00905451">
        <w:rPr>
          <w:vertAlign w:val="subscript"/>
        </w:rPr>
        <w:t>4</w:t>
      </w:r>
      <w:r w:rsidRPr="00905451">
        <w:t>), oxid dusný (N</w:t>
      </w:r>
      <w:r w:rsidRPr="00905451">
        <w:rPr>
          <w:vertAlign w:val="subscript"/>
        </w:rPr>
        <w:t>2</w:t>
      </w:r>
      <w:r w:rsidRPr="00905451">
        <w:t>O)</w:t>
      </w:r>
      <w:r w:rsidR="00905451">
        <w:t xml:space="preserve"> a </w:t>
      </w:r>
      <w:r w:rsidRPr="00905451">
        <w:t xml:space="preserve">celý rad </w:t>
      </w:r>
      <w:proofErr w:type="spellStart"/>
      <w:r w:rsidRPr="00905451">
        <w:t>chlórfluórovaných</w:t>
      </w:r>
      <w:proofErr w:type="spellEnd"/>
      <w:r w:rsidRPr="00905451">
        <w:t xml:space="preserve"> uhľovodíkov</w:t>
      </w:r>
      <w:r w:rsidR="00905451">
        <w:t xml:space="preserve"> a </w:t>
      </w:r>
      <w:r w:rsidRPr="00905451">
        <w:t xml:space="preserve">iných </w:t>
      </w:r>
      <w:proofErr w:type="spellStart"/>
      <w:r w:rsidRPr="00905451">
        <w:t>fluórovaných</w:t>
      </w:r>
      <w:proofErr w:type="spellEnd"/>
      <w:r w:rsidRPr="00905451">
        <w:t xml:space="preserve"> zlúčenín (tzv. </w:t>
      </w:r>
      <w:proofErr w:type="spellStart"/>
      <w:r w:rsidRPr="00905451">
        <w:t>F-plyny</w:t>
      </w:r>
      <w:proofErr w:type="spellEnd"/>
      <w:r w:rsidRPr="00905451">
        <w:t>). Mnohé tieto plyny odlišné od CO</w:t>
      </w:r>
      <w:r w:rsidRPr="00905451">
        <w:rPr>
          <w:vertAlign w:val="subscript"/>
        </w:rPr>
        <w:t>2</w:t>
      </w:r>
      <w:r w:rsidRPr="00905451">
        <w:t xml:space="preserve"> budú</w:t>
      </w:r>
      <w:r w:rsidR="00905451">
        <w:t xml:space="preserve"> v </w:t>
      </w:r>
      <w:r w:rsidRPr="00905451">
        <w:t>najbližšom storočí svojimi molekulami desať-, sto- alebo aj tisíckrát viac prispievať ku globálnemu otepľovaniu ako CO</w:t>
      </w:r>
      <w:r w:rsidRPr="00905451">
        <w:rPr>
          <w:vertAlign w:val="subscript"/>
        </w:rPr>
        <w:t>2</w:t>
      </w:r>
      <w:r w:rsidRPr="00905451">
        <w:t>. Hoci sú ich koncentrácie nízke, rýchlo sa zvyšujú.</w:t>
      </w:r>
    </w:p>
    <w:p w:rsidR="002C1D77" w:rsidRPr="00905451" w:rsidRDefault="00DC05B0" w:rsidP="00290B55">
      <w:pPr>
        <w:keepLines/>
        <w:numPr>
          <w:ilvl w:val="0"/>
          <w:numId w:val="1"/>
        </w:numPr>
        <w:spacing w:after="120" w:line="276" w:lineRule="auto"/>
        <w:ind w:left="403" w:hanging="403"/>
      </w:pPr>
      <w:r w:rsidRPr="00905451">
        <w:rPr>
          <w:b/>
        </w:rPr>
        <w:t>Rozhodnúť</w:t>
      </w:r>
      <w:r w:rsidR="00905451">
        <w:rPr>
          <w:b/>
        </w:rPr>
        <w:t xml:space="preserve"> o </w:t>
      </w:r>
      <w:r w:rsidRPr="00905451">
        <w:rPr>
          <w:b/>
        </w:rPr>
        <w:t>investovaní do výskumu</w:t>
      </w:r>
      <w:r w:rsidR="00905451">
        <w:rPr>
          <w:b/>
        </w:rPr>
        <w:t xml:space="preserve"> a </w:t>
      </w:r>
      <w:r w:rsidRPr="00905451">
        <w:rPr>
          <w:b/>
        </w:rPr>
        <w:t>vývoja (</w:t>
      </w:r>
      <w:proofErr w:type="spellStart"/>
      <w:r w:rsidRPr="00905451">
        <w:rPr>
          <w:b/>
        </w:rPr>
        <w:t>VaV</w:t>
      </w:r>
      <w:proofErr w:type="spellEnd"/>
      <w:r w:rsidRPr="00905451">
        <w:rPr>
          <w:b/>
        </w:rPr>
        <w:t>) nového lacného zdroja energie</w:t>
      </w:r>
      <w:r w:rsidR="00905451">
        <w:rPr>
          <w:b/>
        </w:rPr>
        <w:t xml:space="preserve"> s </w:t>
      </w:r>
      <w:r w:rsidRPr="00905451">
        <w:rPr>
          <w:b/>
        </w:rPr>
        <w:t>nulovými emisiami CO</w:t>
      </w:r>
      <w:r w:rsidRPr="00905451">
        <w:rPr>
          <w:b/>
          <w:vertAlign w:val="subscript"/>
        </w:rPr>
        <w:t>2</w:t>
      </w:r>
      <w:r w:rsidRPr="00905451">
        <w:rPr>
          <w:b/>
        </w:rPr>
        <w:t>.</w:t>
      </w:r>
      <w:r w:rsidRPr="00905451">
        <w:t xml:space="preserve"> Niektorí vedci sa domnievajú, že nový typ jadrovej energie, ako je štiepenie tória alebo jadrová syntéza, by predstavoval najlepší zdroj energie na náhradu fosílnych palív, pričom tvrdia, že takéto technológie by mohli poskytovať lacnú elektrickú energiu</w:t>
      </w:r>
      <w:r w:rsidR="00905451">
        <w:t xml:space="preserve"> s </w:t>
      </w:r>
      <w:r w:rsidRPr="00905451">
        <w:t>nulovými emisiami CO</w:t>
      </w:r>
      <w:r w:rsidRPr="00905451">
        <w:rPr>
          <w:vertAlign w:val="subscript"/>
        </w:rPr>
        <w:t>2</w:t>
      </w:r>
      <w:r w:rsidRPr="00905451">
        <w:t xml:space="preserve"> vo veľkom rozsahu. Niekoľko významných univerzít</w:t>
      </w:r>
      <w:r w:rsidR="00905451">
        <w:t xml:space="preserve"> a </w:t>
      </w:r>
      <w:r w:rsidRPr="00905451">
        <w:t>spoločností skúma sľubné nové riešenia</w:t>
      </w:r>
      <w:r w:rsidR="00905451">
        <w:t xml:space="preserve"> v </w:t>
      </w:r>
      <w:r w:rsidRPr="00905451">
        <w:t>oblasti jadrovej energie. Tieto nové technológie však</w:t>
      </w:r>
      <w:r w:rsidR="00905451">
        <w:t xml:space="preserve"> v </w:t>
      </w:r>
      <w:r w:rsidRPr="00905451">
        <w:t>súčasnosti nie sú</w:t>
      </w:r>
      <w:r w:rsidR="00905451">
        <w:t xml:space="preserve"> k </w:t>
      </w:r>
      <w:r w:rsidRPr="00905451">
        <w:t>dispozícii</w:t>
      </w:r>
      <w:r w:rsidR="00905451">
        <w:t xml:space="preserve"> a </w:t>
      </w:r>
      <w:r w:rsidRPr="00905451">
        <w:t>budú si vyžadovať značné investície, aby sa stali komerčne životaschopnými.</w:t>
      </w:r>
    </w:p>
    <w:p w:rsidR="002C1D77" w:rsidRPr="00905451" w:rsidRDefault="00DC05B0" w:rsidP="00290B55">
      <w:pPr>
        <w:numPr>
          <w:ilvl w:val="0"/>
          <w:numId w:val="1"/>
        </w:numPr>
        <w:spacing w:after="120" w:line="276" w:lineRule="auto"/>
        <w:ind w:left="403" w:hanging="403"/>
      </w:pPr>
      <w:r w:rsidRPr="00905451">
        <w:rPr>
          <w:b/>
        </w:rPr>
        <w:t>Rozhodnúť</w:t>
      </w:r>
      <w:r w:rsidR="00905451">
        <w:rPr>
          <w:b/>
        </w:rPr>
        <w:t xml:space="preserve"> o </w:t>
      </w:r>
      <w:r w:rsidRPr="00905451">
        <w:rPr>
          <w:b/>
        </w:rPr>
        <w:t>tom, či je možné dosiahnuť výrazný pokrok</w:t>
      </w:r>
      <w:r w:rsidR="00905451">
        <w:rPr>
          <w:b/>
        </w:rPr>
        <w:t xml:space="preserve"> v </w:t>
      </w:r>
      <w:r w:rsidRPr="00905451">
        <w:rPr>
          <w:b/>
        </w:rPr>
        <w:t>oblasti technológie odstraňovania oxidu uhličitého.</w:t>
      </w:r>
      <w:r w:rsidR="00905451">
        <w:t xml:space="preserve"> V </w:t>
      </w:r>
      <w:r w:rsidRPr="00905451">
        <w:t>novej oblasti technológie odstraňovania oxidu uhličitého (CDR) sa hľadajú metódy na odstránenie CO</w:t>
      </w:r>
      <w:r w:rsidRPr="00905451">
        <w:rPr>
          <w:vertAlign w:val="subscript"/>
        </w:rPr>
        <w:t>2</w:t>
      </w:r>
      <w:r w:rsidRPr="00905451">
        <w:t>, ktorý sa už nachádza</w:t>
      </w:r>
      <w:r w:rsidR="00905451">
        <w:t xml:space="preserve"> v </w:t>
      </w:r>
      <w:r w:rsidRPr="00905451">
        <w:t>atmosfére. Tieto technológie siahajú od zmien</w:t>
      </w:r>
      <w:r w:rsidR="00905451">
        <w:t xml:space="preserve"> v </w:t>
      </w:r>
      <w:r w:rsidRPr="00905451">
        <w:t>poľnohospodárskych postupoch, ktoré sa dajú uplatniť hneď, až po špekulatívne</w:t>
      </w:r>
      <w:r w:rsidR="00905451">
        <w:t xml:space="preserve"> a </w:t>
      </w:r>
      <w:r w:rsidRPr="00905451">
        <w:t xml:space="preserve">neoverené technológie, ako je napríklad zachytávanie vzduchu – </w:t>
      </w:r>
      <w:proofErr w:type="spellStart"/>
      <w:r w:rsidRPr="00905451">
        <w:rPr>
          <w:i/>
          <w:iCs/>
        </w:rPr>
        <w:t>Direct</w:t>
      </w:r>
      <w:proofErr w:type="spellEnd"/>
      <w:r w:rsidRPr="00905451">
        <w:rPr>
          <w:i/>
          <w:iCs/>
        </w:rPr>
        <w:t xml:space="preserve"> </w:t>
      </w:r>
      <w:proofErr w:type="spellStart"/>
      <w:r w:rsidRPr="00905451">
        <w:rPr>
          <w:i/>
          <w:iCs/>
        </w:rPr>
        <w:t>Air</w:t>
      </w:r>
      <w:proofErr w:type="spellEnd"/>
      <w:r w:rsidRPr="00905451">
        <w:rPr>
          <w:i/>
          <w:iCs/>
        </w:rPr>
        <w:t xml:space="preserve"> </w:t>
      </w:r>
      <w:proofErr w:type="spellStart"/>
      <w:r w:rsidRPr="00905451">
        <w:rPr>
          <w:i/>
          <w:iCs/>
        </w:rPr>
        <w:t>Capture</w:t>
      </w:r>
      <w:proofErr w:type="spellEnd"/>
      <w:r w:rsidRPr="00905451">
        <w:t xml:space="preserve"> (DAC). Vaša skupina sa môže rozhodnúť investovať do týchto technológií.</w:t>
      </w:r>
    </w:p>
    <w:p w:rsidR="002C1D77" w:rsidRPr="00905451" w:rsidRDefault="00DC05B0" w:rsidP="00290B55">
      <w:pPr>
        <w:numPr>
          <w:ilvl w:val="0"/>
          <w:numId w:val="1"/>
        </w:numPr>
        <w:tabs>
          <w:tab w:val="left" w:pos="355"/>
        </w:tabs>
        <w:spacing w:after="120" w:line="276" w:lineRule="auto"/>
        <w:ind w:left="403" w:hanging="403"/>
      </w:pPr>
      <w:r w:rsidRPr="00905451">
        <w:rPr>
          <w:b/>
        </w:rPr>
        <w:t>Zvážiť stanovenie ceny emisií CO</w:t>
      </w:r>
      <w:r w:rsidRPr="00905451">
        <w:rPr>
          <w:b/>
          <w:vertAlign w:val="subscript"/>
        </w:rPr>
        <w:t>2</w:t>
      </w:r>
      <w:r w:rsidRPr="00905451">
        <w:rPr>
          <w:b/>
        </w:rPr>
        <w:t>.</w:t>
      </w:r>
      <w:r w:rsidR="00905451">
        <w:t xml:space="preserve"> V </w:t>
      </w:r>
      <w:r w:rsidRPr="00905451">
        <w:t>celosvetovej energetickej sústave stále dominujú fosílne palivá</w:t>
      </w:r>
      <w:r w:rsidR="00905451">
        <w:t xml:space="preserve"> a </w:t>
      </w:r>
      <w:r w:rsidRPr="00905451">
        <w:t>CO</w:t>
      </w:r>
      <w:r w:rsidRPr="00905451">
        <w:rPr>
          <w:vertAlign w:val="subscript"/>
        </w:rPr>
        <w:t>2</w:t>
      </w:r>
      <w:r w:rsidRPr="00905451">
        <w:t>, ktorý</w:t>
      </w:r>
      <w:r w:rsidR="00905451">
        <w:t xml:space="preserve"> z </w:t>
      </w:r>
      <w:r w:rsidRPr="00905451">
        <w:t>nich vzniká, je najväčším zdrojom skleníkových plynov. Ekonómovia sa zhodujú na tom, že cena emisií oxidu uhličitého je najlepší spôsob, ako znížiť globálne emisie skleníkových plynov. Zvážte stanovovanie celosvetovej ceny emisií oxidu uhličitého, ku ktorému by mohlo dochádzať postupne tak, aby sa priemyslu</w:t>
      </w:r>
      <w:r w:rsidR="00905451">
        <w:t xml:space="preserve"> a </w:t>
      </w:r>
      <w:r w:rsidRPr="00905451">
        <w:t>spotrebiteľom poskytol čas sa tomu prispôsobiť. Príjmy by sa mohli vracať verejnosti, pomôcť kompenzovať náklady na iné politiky, znížiť rozpočtové deficity alebo poskytnúť pomoc rozvojovým krajinám na zníženie ich emisií. Hoci sa</w:t>
      </w:r>
      <w:r w:rsidR="00905451">
        <w:t xml:space="preserve"> v </w:t>
      </w:r>
      <w:r w:rsidRPr="00905451">
        <w:t>niektorých</w:t>
      </w:r>
      <w:r w:rsidR="00905451">
        <w:t xml:space="preserve"> z </w:t>
      </w:r>
      <w:r w:rsidRPr="00905451">
        <w:t>vašich krajín, štátov</w:t>
      </w:r>
      <w:r w:rsidR="00905451">
        <w:t xml:space="preserve"> a </w:t>
      </w:r>
      <w:r w:rsidRPr="00905451">
        <w:t>regiónov stanovila cena emisií oxidu uhličitého, je oveľa nižšia než ekonómami odporúčaných 30 – 50 USD alebo</w:t>
      </w:r>
      <w:r w:rsidR="00905451">
        <w:t xml:space="preserve"> i </w:t>
      </w:r>
      <w:r w:rsidRPr="00905451">
        <w:t>viac za tonu. Priemysel fosílnych palív je proti cenám emisií CO</w:t>
      </w:r>
      <w:r w:rsidRPr="00905451">
        <w:rPr>
          <w:vertAlign w:val="subscript"/>
        </w:rPr>
        <w:t>2</w:t>
      </w:r>
      <w:r w:rsidRPr="00905451">
        <w:t>, rovnako ako spoločnosti, ktoré sú vo veľkej miere závislé od fosílnych palív.</w:t>
      </w:r>
    </w:p>
    <w:p w:rsidR="002C1D77" w:rsidRPr="00905451" w:rsidRDefault="00DC05B0" w:rsidP="00290B55">
      <w:pPr>
        <w:spacing w:after="120" w:line="276" w:lineRule="auto"/>
        <w:rPr>
          <w:b/>
        </w:rPr>
      </w:pPr>
      <w:r w:rsidRPr="00905451">
        <w:rPr>
          <w:b/>
          <w:color w:val="000000"/>
        </w:rPr>
        <w:t>Ďalšie súvislosti</w:t>
      </w:r>
    </w:p>
    <w:p w:rsidR="002C1D77" w:rsidRPr="00905451" w:rsidRDefault="00DC05B0" w:rsidP="000A6D24">
      <w:pPr>
        <w:spacing w:after="120" w:line="276" w:lineRule="auto"/>
      </w:pPr>
      <w:r w:rsidRPr="00905451">
        <w:rPr>
          <w:color w:val="000000"/>
        </w:rPr>
        <w:t>Uznávate, že zmena klímy je realitou</w:t>
      </w:r>
      <w:r w:rsidR="00905451">
        <w:rPr>
          <w:color w:val="000000"/>
        </w:rPr>
        <w:t xml:space="preserve"> a </w:t>
      </w:r>
      <w:r w:rsidRPr="00905451">
        <w:rPr>
          <w:color w:val="000000"/>
        </w:rPr>
        <w:t>že ju spôsobuje hlavne spaľovanie fosílnych palív</w:t>
      </w:r>
      <w:r w:rsidR="00905451">
        <w:rPr>
          <w:color w:val="000000"/>
        </w:rPr>
        <w:t xml:space="preserve"> a </w:t>
      </w:r>
      <w:r w:rsidRPr="00905451">
        <w:rPr>
          <w:color w:val="000000"/>
        </w:rPr>
        <w:t xml:space="preserve">že predstavuje vážne riziko pre ľudí na celom svete – vrátane vašej krajiny. Zmena klímy je závažným </w:t>
      </w:r>
      <w:proofErr w:type="spellStart"/>
      <w:r w:rsidRPr="00905451">
        <w:rPr>
          <w:color w:val="000000"/>
        </w:rPr>
        <w:t>multiplikátorom</w:t>
      </w:r>
      <w:proofErr w:type="spellEnd"/>
      <w:r w:rsidRPr="00905451">
        <w:rPr>
          <w:color w:val="000000"/>
        </w:rPr>
        <w:t xml:space="preserve"> ohrozenia vašej národnej bezpečnosti, keďže škoda vyplývajúca zo zmeny klímy čoraz viac stimuluje konflikty</w:t>
      </w:r>
      <w:r w:rsidR="00905451">
        <w:rPr>
          <w:color w:val="000000"/>
        </w:rPr>
        <w:t xml:space="preserve"> a </w:t>
      </w:r>
      <w:r w:rsidRPr="00905451">
        <w:rPr>
          <w:color w:val="000000"/>
        </w:rPr>
        <w:t>migráciu, čo už</w:t>
      </w:r>
      <w:r w:rsidR="00905451">
        <w:rPr>
          <w:color w:val="000000"/>
        </w:rPr>
        <w:t xml:space="preserve"> v </w:t>
      </w:r>
      <w:r w:rsidRPr="00905451">
        <w:rPr>
          <w:color w:val="000000"/>
        </w:rPr>
        <w:t>niektorých prípadoch vedie</w:t>
      </w:r>
      <w:r w:rsidR="00905451">
        <w:rPr>
          <w:color w:val="000000"/>
        </w:rPr>
        <w:t xml:space="preserve"> k </w:t>
      </w:r>
      <w:r w:rsidRPr="00905451">
        <w:rPr>
          <w:color w:val="000000"/>
        </w:rPr>
        <w:t>negatívnemu postoju</w:t>
      </w:r>
      <w:r w:rsidR="00905451">
        <w:rPr>
          <w:color w:val="000000"/>
        </w:rPr>
        <w:t xml:space="preserve"> a k </w:t>
      </w:r>
      <w:r w:rsidRPr="00905451">
        <w:rPr>
          <w:color w:val="000000"/>
        </w:rPr>
        <w:t>zavedeniu politík zameraných proti prisťahovalcom.</w:t>
      </w:r>
    </w:p>
    <w:p w:rsidR="002C1D77" w:rsidRPr="00905451" w:rsidRDefault="00DC05B0" w:rsidP="000A6D24">
      <w:pPr>
        <w:spacing w:after="120" w:line="276" w:lineRule="auto"/>
      </w:pPr>
      <w:r w:rsidRPr="00905451">
        <w:rPr>
          <w:color w:val="000000"/>
        </w:rPr>
        <w:t>Zároveň sú vaše krajiny závislé od fosílnych palív – vaše krajiny sú</w:t>
      </w:r>
      <w:r w:rsidR="00905451">
        <w:rPr>
          <w:color w:val="000000"/>
        </w:rPr>
        <w:t xml:space="preserve"> v </w:t>
      </w:r>
      <w:r w:rsidRPr="00905451">
        <w:rPr>
          <w:color w:val="000000"/>
        </w:rPr>
        <w:t>súčasnosti zodpovedné za 36</w:t>
      </w:r>
      <w:r w:rsidR="00905451">
        <w:rPr>
          <w:color w:val="000000"/>
        </w:rPr>
        <w:t> %</w:t>
      </w:r>
      <w:r w:rsidRPr="00905451">
        <w:rPr>
          <w:color w:val="000000"/>
        </w:rPr>
        <w:t xml:space="preserve"> celosvetových emisií skleníkových plynov</w:t>
      </w:r>
      <w:r w:rsidR="00905451">
        <w:rPr>
          <w:color w:val="000000"/>
        </w:rPr>
        <w:t xml:space="preserve"> a </w:t>
      </w:r>
      <w:r w:rsidRPr="00905451">
        <w:rPr>
          <w:color w:val="000000"/>
        </w:rPr>
        <w:t>od čias priemyselnej revolúcie za oveľa vyšší podiel kumulatívnych emisií. Ekonomiky niektorých krajín vašej skupiny sa spoliehajú na vývoz fosílnych palív, najmä Rusko (ropa</w:t>
      </w:r>
      <w:r w:rsidR="00905451">
        <w:rPr>
          <w:color w:val="000000"/>
        </w:rPr>
        <w:t xml:space="preserve"> a </w:t>
      </w:r>
      <w:r w:rsidRPr="00905451">
        <w:rPr>
          <w:color w:val="000000"/>
        </w:rPr>
        <w:t>zemný plyn), Austrália (uhlie)</w:t>
      </w:r>
      <w:r w:rsidR="00905451">
        <w:rPr>
          <w:color w:val="000000"/>
        </w:rPr>
        <w:t xml:space="preserve"> a </w:t>
      </w:r>
      <w:r w:rsidRPr="00905451">
        <w:rPr>
          <w:color w:val="000000"/>
        </w:rPr>
        <w:t>Kanada (ropa</w:t>
      </w:r>
      <w:r w:rsidR="00905451">
        <w:rPr>
          <w:color w:val="000000"/>
        </w:rPr>
        <w:t xml:space="preserve"> z </w:t>
      </w:r>
      <w:proofErr w:type="spellStart"/>
      <w:r w:rsidRPr="00905451">
        <w:rPr>
          <w:color w:val="000000"/>
        </w:rPr>
        <w:t>roponosných</w:t>
      </w:r>
      <w:proofErr w:type="spellEnd"/>
      <w:r w:rsidRPr="00905451">
        <w:rPr>
          <w:color w:val="000000"/>
        </w:rPr>
        <w:t xml:space="preserve"> pieskov). Spojené štáty oznámili svoj zámer odstúpiť od Parížskej dohody</w:t>
      </w:r>
      <w:r w:rsidR="00905451">
        <w:rPr>
          <w:color w:val="000000"/>
        </w:rPr>
        <w:t xml:space="preserve"> o </w:t>
      </w:r>
      <w:r w:rsidRPr="00905451">
        <w:rPr>
          <w:color w:val="000000"/>
        </w:rPr>
        <w:t>zmene klímy</w:t>
      </w:r>
      <w:r w:rsidR="00905451">
        <w:rPr>
          <w:color w:val="000000"/>
        </w:rPr>
        <w:t xml:space="preserve"> z </w:t>
      </w:r>
      <w:r w:rsidRPr="00905451">
        <w:rPr>
          <w:color w:val="000000"/>
        </w:rPr>
        <w:t>roku 2015</w:t>
      </w:r>
      <w:r w:rsidR="00905451">
        <w:rPr>
          <w:color w:val="000000"/>
        </w:rPr>
        <w:t xml:space="preserve"> a </w:t>
      </w:r>
      <w:r w:rsidRPr="00905451">
        <w:rPr>
          <w:color w:val="000000"/>
        </w:rPr>
        <w:t xml:space="preserve">federálna vláda USA ruší mnohé politiky, ktoré sú šetrné voči klíme. </w:t>
      </w:r>
      <w:r w:rsidRPr="00905451">
        <w:t xml:space="preserve">Zároveň </w:t>
      </w:r>
      <w:r w:rsidRPr="00905451">
        <w:rPr>
          <w:rStyle w:val="Bodytext2"/>
        </w:rPr>
        <w:t>desiatky štátov</w:t>
      </w:r>
      <w:r w:rsidR="00905451">
        <w:t xml:space="preserve"> a </w:t>
      </w:r>
      <w:r w:rsidRPr="00905451">
        <w:t>stovky miest, okresov</w:t>
      </w:r>
      <w:r w:rsidR="00905451">
        <w:t xml:space="preserve"> a </w:t>
      </w:r>
      <w:r w:rsidRPr="00905451">
        <w:t>podnikov</w:t>
      </w:r>
      <w:r w:rsidR="00905451">
        <w:t xml:space="preserve"> v </w:t>
      </w:r>
      <w:r w:rsidRPr="00905451">
        <w:t>USA vyhlásili, že sú „</w:t>
      </w:r>
      <w:r w:rsidRPr="00905451">
        <w:rPr>
          <w:rStyle w:val="Bodytext2"/>
        </w:rPr>
        <w:t>naďalej zaangažovaní</w:t>
      </w:r>
      <w:r w:rsidRPr="00905451">
        <w:t>“</w:t>
      </w:r>
      <w:r w:rsidR="00905451">
        <w:t xml:space="preserve"> a </w:t>
      </w:r>
      <w:r w:rsidRPr="00905451">
        <w:t>zaviazali sa splniť alebo prekročiť svoj podiel na záväzku USA.</w:t>
      </w:r>
      <w:r w:rsidRPr="00905451">
        <w:rPr>
          <w:color w:val="000000"/>
        </w:rPr>
        <w:t xml:space="preserve"> Mnohé vlády</w:t>
      </w:r>
      <w:r w:rsidR="00905451">
        <w:rPr>
          <w:color w:val="000000"/>
        </w:rPr>
        <w:t xml:space="preserve"> a </w:t>
      </w:r>
      <w:r w:rsidRPr="00905451">
        <w:rPr>
          <w:color w:val="000000"/>
        </w:rPr>
        <w:t>podniky považujú politiky šetrné voči životnému prostrediu za priaznivé pre hospodárstvo. Energetická efektívnosť</w:t>
      </w:r>
      <w:r w:rsidR="00905451">
        <w:rPr>
          <w:color w:val="000000"/>
        </w:rPr>
        <w:t xml:space="preserve"> a </w:t>
      </w:r>
      <w:r w:rsidRPr="00905451">
        <w:rPr>
          <w:color w:val="000000"/>
        </w:rPr>
        <w:t>obnoviteľné zdroje energie, ako je veterná</w:t>
      </w:r>
      <w:r w:rsidR="00905451">
        <w:rPr>
          <w:color w:val="000000"/>
        </w:rPr>
        <w:t xml:space="preserve"> a </w:t>
      </w:r>
      <w:r w:rsidRPr="00905451">
        <w:rPr>
          <w:color w:val="000000"/>
        </w:rPr>
        <w:t>solárna energia, sú často ziskové, vytvárajú pracovné miesta</w:t>
      </w:r>
      <w:r w:rsidR="00905451">
        <w:rPr>
          <w:color w:val="000000"/>
        </w:rPr>
        <w:t xml:space="preserve"> a </w:t>
      </w:r>
      <w:r w:rsidRPr="00905451">
        <w:rPr>
          <w:color w:val="000000"/>
        </w:rPr>
        <w:t>prispievajú</w:t>
      </w:r>
      <w:r w:rsidR="00905451">
        <w:rPr>
          <w:color w:val="000000"/>
        </w:rPr>
        <w:t xml:space="preserve"> k </w:t>
      </w:r>
      <w:r w:rsidRPr="00905451">
        <w:rPr>
          <w:color w:val="000000"/>
        </w:rPr>
        <w:t>zlepšeniu zdravia obyvateľstva.</w:t>
      </w:r>
    </w:p>
    <w:p w:rsidR="002C1D77" w:rsidRPr="00905451" w:rsidRDefault="00DC05B0">
      <w:pPr>
        <w:spacing w:line="276" w:lineRule="auto"/>
      </w:pPr>
      <w:r w:rsidRPr="00905451">
        <w:rPr>
          <w:color w:val="000000"/>
        </w:rPr>
        <w:t>Hoci sa vaše krajiny usilujú</w:t>
      </w:r>
      <w:r w:rsidR="00905451">
        <w:rPr>
          <w:color w:val="000000"/>
        </w:rPr>
        <w:t xml:space="preserve"> o </w:t>
      </w:r>
      <w:r w:rsidRPr="00905451">
        <w:rPr>
          <w:color w:val="000000"/>
        </w:rPr>
        <w:t>zníženie svojich vlastných emisií skleníkových plynov, upozorňujete na to, že Čína je najväčším producentom emisií na svete (28</w:t>
      </w:r>
      <w:r w:rsidR="00905451">
        <w:rPr>
          <w:color w:val="000000"/>
        </w:rPr>
        <w:t> %</w:t>
      </w:r>
      <w:r w:rsidRPr="00905451">
        <w:rPr>
          <w:color w:val="000000"/>
        </w:rPr>
        <w:t xml:space="preserve"> celosvetových emisií)</w:t>
      </w:r>
      <w:r w:rsidR="00905451">
        <w:rPr>
          <w:color w:val="000000"/>
        </w:rPr>
        <w:t xml:space="preserve"> a </w:t>
      </w:r>
      <w:r w:rsidRPr="00905451">
        <w:rPr>
          <w:color w:val="000000"/>
        </w:rPr>
        <w:t>rýchlo sa rozvíjajúce krajiny spoločne produkujú približne 65</w:t>
      </w:r>
      <w:r w:rsidR="00905451">
        <w:rPr>
          <w:color w:val="000000"/>
        </w:rPr>
        <w:t> %</w:t>
      </w:r>
      <w:r w:rsidRPr="00905451">
        <w:rPr>
          <w:color w:val="000000"/>
        </w:rPr>
        <w:t xml:space="preserve"> celosvetových emisií, hoci emisie na osobu</w:t>
      </w:r>
      <w:r w:rsidR="00905451">
        <w:rPr>
          <w:color w:val="000000"/>
        </w:rPr>
        <w:t xml:space="preserve"> v </w:t>
      </w:r>
      <w:r w:rsidRPr="00905451">
        <w:rPr>
          <w:color w:val="000000"/>
        </w:rPr>
        <w:t>týchto krajinách sú nízke.</w:t>
      </w:r>
    </w:p>
    <w:sectPr w:rsidR="002C1D77" w:rsidRPr="00905451" w:rsidSect="004D0CFD">
      <w:footerReference w:type="default" r:id="rId9"/>
      <w:pgSz w:w="11906" w:h="16838" w:code="9"/>
      <w:pgMar w:top="851" w:right="1134" w:bottom="1134" w:left="1247" w:header="284" w:footer="284"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5B0" w:rsidRDefault="00DC05B0">
      <w:pPr>
        <w:spacing w:line="240" w:lineRule="auto"/>
      </w:pPr>
      <w:r>
        <w:separator/>
      </w:r>
    </w:p>
  </w:endnote>
  <w:endnote w:type="continuationSeparator" w:id="0">
    <w:p w:rsidR="00DC05B0" w:rsidRDefault="00DC05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CFD" w:rsidRPr="00290B55" w:rsidRDefault="004D0CFD">
    <w:pPr>
      <w:pStyle w:val="Footer"/>
      <w:rPr>
        <w:i/>
        <w:sz w:val="18"/>
        <w:szCs w:val="18"/>
      </w:rPr>
    </w:pPr>
    <w:r>
      <w:rPr>
        <w:i/>
        <w:sz w:val="18"/>
        <w:szCs w:val="18"/>
      </w:rPr>
      <w:t xml:space="preserve">Pripravili: </w:t>
    </w:r>
    <w:proofErr w:type="spellStart"/>
    <w:r>
      <w:rPr>
        <w:i/>
        <w:sz w:val="18"/>
        <w:szCs w:val="18"/>
      </w:rPr>
      <w:t>Climate</w:t>
    </w:r>
    <w:proofErr w:type="spellEnd"/>
    <w:r>
      <w:rPr>
        <w:i/>
        <w:sz w:val="18"/>
        <w:szCs w:val="18"/>
      </w:rPr>
      <w:t xml:space="preserve"> </w:t>
    </w:r>
    <w:proofErr w:type="spellStart"/>
    <w:r>
      <w:rPr>
        <w:i/>
        <w:sz w:val="18"/>
        <w:szCs w:val="18"/>
      </w:rPr>
      <w:t>Interactive</w:t>
    </w:r>
    <w:proofErr w:type="spellEnd"/>
    <w:r>
      <w:rPr>
        <w:i/>
        <w:sz w:val="18"/>
        <w:szCs w:val="18"/>
      </w:rPr>
      <w:t xml:space="preserve">, MIT </w:t>
    </w:r>
    <w:proofErr w:type="spellStart"/>
    <w:r>
      <w:rPr>
        <w:i/>
        <w:sz w:val="18"/>
        <w:szCs w:val="18"/>
      </w:rPr>
      <w:t>Sloan</w:t>
    </w:r>
    <w:proofErr w:type="spellEnd"/>
    <w:r>
      <w:rPr>
        <w:i/>
        <w:sz w:val="18"/>
        <w:szCs w:val="18"/>
      </w:rPr>
      <w:t xml:space="preserve"> </w:t>
    </w:r>
    <w:proofErr w:type="spellStart"/>
    <w:r>
      <w:rPr>
        <w:i/>
        <w:sz w:val="18"/>
        <w:szCs w:val="18"/>
      </w:rPr>
      <w:t>School</w:t>
    </w:r>
    <w:proofErr w:type="spellEnd"/>
    <w:r>
      <w:rPr>
        <w:i/>
        <w:sz w:val="18"/>
        <w:szCs w:val="18"/>
      </w:rPr>
      <w:t xml:space="preserve"> </w:t>
    </w:r>
    <w:proofErr w:type="spellStart"/>
    <w:r>
      <w:rPr>
        <w:i/>
        <w:sz w:val="18"/>
        <w:szCs w:val="18"/>
      </w:rPr>
      <w:t>of</w:t>
    </w:r>
    <w:proofErr w:type="spellEnd"/>
    <w:r>
      <w:rPr>
        <w:i/>
        <w:sz w:val="18"/>
        <w:szCs w:val="18"/>
      </w:rPr>
      <w:t xml:space="preserve"> </w:t>
    </w:r>
    <w:proofErr w:type="spellStart"/>
    <w:r>
      <w:rPr>
        <w:i/>
        <w:sz w:val="18"/>
        <w:szCs w:val="18"/>
      </w:rPr>
      <w:t>Management</w:t>
    </w:r>
    <w:proofErr w:type="spellEnd"/>
    <w:r>
      <w:rPr>
        <w:i/>
        <w:sz w:val="18"/>
        <w:szCs w:val="18"/>
      </w:rPr>
      <w:t xml:space="preserve"> </w:t>
    </w:r>
    <w:proofErr w:type="spellStart"/>
    <w:r>
      <w:rPr>
        <w:i/>
        <w:sz w:val="18"/>
        <w:szCs w:val="18"/>
      </w:rPr>
      <w:t>Sustainability</w:t>
    </w:r>
    <w:proofErr w:type="spellEnd"/>
    <w:r>
      <w:rPr>
        <w:i/>
        <w:sz w:val="18"/>
        <w:szCs w:val="18"/>
      </w:rPr>
      <w:t xml:space="preserve"> </w:t>
    </w:r>
    <w:proofErr w:type="spellStart"/>
    <w:r>
      <w:rPr>
        <w:i/>
        <w:sz w:val="18"/>
        <w:szCs w:val="18"/>
      </w:rPr>
      <w:t>Initiative</w:t>
    </w:r>
    <w:proofErr w:type="spellEnd"/>
    <w:r>
      <w:rPr>
        <w:i/>
        <w:sz w:val="18"/>
        <w:szCs w:val="18"/>
      </w:rPr>
      <w:t xml:space="preserve">, ESB </w:t>
    </w:r>
    <w:proofErr w:type="spellStart"/>
    <w:r>
      <w:rPr>
        <w:i/>
        <w:sz w:val="18"/>
        <w:szCs w:val="18"/>
      </w:rPr>
      <w:t>Business</w:t>
    </w:r>
    <w:proofErr w:type="spellEnd"/>
    <w:r>
      <w:rPr>
        <w:i/>
        <w:sz w:val="18"/>
        <w:szCs w:val="18"/>
      </w:rPr>
      <w:t xml:space="preserve"> </w:t>
    </w:r>
    <w:proofErr w:type="spellStart"/>
    <w:r>
      <w:rPr>
        <w:i/>
        <w:sz w:val="18"/>
        <w:szCs w:val="18"/>
      </w:rPr>
      <w:t>School</w:t>
    </w:r>
    <w:proofErr w:type="spellEnd"/>
    <w:r>
      <w:rPr>
        <w:i/>
        <w:sz w:val="18"/>
        <w:szCs w:val="18"/>
      </w:rPr>
      <w:t xml:space="preserve"> a UMC </w:t>
    </w:r>
    <w:proofErr w:type="spellStart"/>
    <w:r>
      <w:rPr>
        <w:i/>
        <w:sz w:val="18"/>
        <w:szCs w:val="18"/>
      </w:rPr>
      <w:t>Lowell</w:t>
    </w:r>
    <w:proofErr w:type="spellEnd"/>
    <w:r>
      <w:rPr>
        <w:i/>
        <w:sz w:val="18"/>
        <w:szCs w:val="18"/>
      </w:rPr>
      <w:t xml:space="preserve"> </w:t>
    </w:r>
    <w:proofErr w:type="spellStart"/>
    <w:r>
      <w:rPr>
        <w:i/>
        <w:sz w:val="18"/>
        <w:szCs w:val="18"/>
      </w:rPr>
      <w:t>Climate</w:t>
    </w:r>
    <w:proofErr w:type="spellEnd"/>
    <w:r>
      <w:rPr>
        <w:i/>
        <w:sz w:val="18"/>
        <w:szCs w:val="18"/>
      </w:rPr>
      <w:t xml:space="preserve"> </w:t>
    </w:r>
    <w:proofErr w:type="spellStart"/>
    <w:r>
      <w:rPr>
        <w:i/>
        <w:sz w:val="18"/>
        <w:szCs w:val="18"/>
      </w:rPr>
      <w:t>Change</w:t>
    </w:r>
    <w:proofErr w:type="spellEnd"/>
    <w:r>
      <w:rPr>
        <w:i/>
        <w:sz w:val="18"/>
        <w:szCs w:val="18"/>
      </w:rPr>
      <w:t xml:space="preserve"> </w:t>
    </w:r>
    <w:proofErr w:type="spellStart"/>
    <w:r>
      <w:rPr>
        <w:i/>
        <w:sz w:val="18"/>
        <w:szCs w:val="18"/>
      </w:rPr>
      <w:t>Initiative</w:t>
    </w:r>
    <w:proofErr w:type="spellEnd"/>
    <w:r>
      <w:rPr>
        <w:i/>
        <w:sz w:val="18"/>
        <w:szCs w:val="18"/>
      </w:rPr>
      <w:t xml:space="preserve">. Naposledy aktualizované v septembri 2019. </w:t>
    </w:r>
    <w:hyperlink r:id="rId1" w:history="1">
      <w:r>
        <w:rPr>
          <w:rStyle w:val="Hyperlink"/>
          <w:i/>
          <w:sz w:val="18"/>
          <w:szCs w:val="18"/>
        </w:rPr>
        <w:t>www.cllmatelnteractlve.org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5B0" w:rsidRDefault="00DC05B0"/>
  </w:footnote>
  <w:footnote w:type="continuationSeparator" w:id="0">
    <w:p w:rsidR="00DC05B0" w:rsidRDefault="00DC05B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413B2488"/>
    <w:multiLevelType w:val="multilevel"/>
    <w:tmpl w:val="69EAB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 Sexton Hayden">
    <w15:presenceInfo w15:providerId="None" w15:userId="Susan Sexton Hayd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revisionView w:markup="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D77"/>
    <w:rsid w:val="0006720E"/>
    <w:rsid w:val="000A6D24"/>
    <w:rsid w:val="00290B55"/>
    <w:rsid w:val="002C1D77"/>
    <w:rsid w:val="004D0CFD"/>
    <w:rsid w:val="00571732"/>
    <w:rsid w:val="005C1752"/>
    <w:rsid w:val="006D3A3F"/>
    <w:rsid w:val="007412A6"/>
    <w:rsid w:val="007835BC"/>
    <w:rsid w:val="007A09A4"/>
    <w:rsid w:val="00905451"/>
    <w:rsid w:val="0091067F"/>
    <w:rsid w:val="00A26097"/>
    <w:rsid w:val="00BE2C0D"/>
    <w:rsid w:val="00BE3933"/>
    <w:rsid w:val="00DC05B0"/>
    <w:rsid w:val="00FE51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sk-SK"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CFD"/>
    <w:pPr>
      <w:widowControl/>
      <w:spacing w:line="288" w:lineRule="auto"/>
      <w:jc w:val="both"/>
    </w:pPr>
    <w:rPr>
      <w:sz w:val="22"/>
      <w:szCs w:val="22"/>
      <w:lang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sk-SK" w:eastAsia="en-US" w:bidi="en-US"/>
    </w:rPr>
  </w:style>
  <w:style w:type="character" w:customStyle="1" w:styleId="Bodytext20">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sk-SK" w:eastAsia="en-US" w:bidi="en-US"/>
    </w:rPr>
  </w:style>
  <w:style w:type="character" w:customStyle="1" w:styleId="Bodytext21">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sk-SK"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k-SK"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sk-SK"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sk-SK" w:eastAsia="en-US" w:bidi="en-US"/>
    </w:rPr>
  </w:style>
  <w:style w:type="character" w:customStyle="1" w:styleId="Bodytext26pt0">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sk-SK" w:eastAsia="en-US" w:bidi="en-US"/>
    </w:rPr>
  </w:style>
  <w:style w:type="character" w:customStyle="1" w:styleId="Bodytext2Bold0">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sk-SK"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sk-SK"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CFD"/>
    <w:pPr>
      <w:widowControl/>
      <w:spacing w:line="288" w:lineRule="auto"/>
      <w:jc w:val="both"/>
    </w:pPr>
    <w:rPr>
      <w:sz w:val="22"/>
      <w:szCs w:val="22"/>
      <w:lang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sk-SK" w:eastAsia="en-US" w:bidi="en-US"/>
    </w:rPr>
  </w:style>
  <w:style w:type="character" w:customStyle="1" w:styleId="Bodytext20">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sk-SK" w:eastAsia="en-US" w:bidi="en-US"/>
    </w:rPr>
  </w:style>
  <w:style w:type="character" w:customStyle="1" w:styleId="Bodytext21">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sk-SK"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k-SK"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sk-SK"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sk-SK" w:eastAsia="en-US" w:bidi="en-US"/>
    </w:rPr>
  </w:style>
  <w:style w:type="character" w:customStyle="1" w:styleId="Bodytext26pt0">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sk-SK" w:eastAsia="en-US" w:bidi="en-US"/>
    </w:rPr>
  </w:style>
  <w:style w:type="character" w:customStyle="1" w:styleId="Bodytext2Bold0">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sk-SK"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CTJJHAUHWN5E-644613129-2860</_dlc_DocId>
    <_dlc_DocIdUrl xmlns="bfc960a6-20da-4c94-8684-71380fca093b">
      <Url>http://dm2016/eesc/2019/_layouts/15/DocIdRedir.aspx?ID=CTJJHAUHWN5E-644613129-2860</Url>
      <Description>CTJJHAUHWN5E-644613129-2860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152</Value>
      <Value>62</Value>
      <Value>60</Value>
      <Value>59</Value>
      <Value>63</Value>
      <Value>56</Value>
      <Value>55</Value>
      <Value>52</Value>
      <Value>49</Value>
      <Value>48</Value>
      <Value>46</Value>
      <Value>45</Value>
      <Value>38</Value>
      <Value>65</Value>
      <Value>153</Value>
      <Value>25</Value>
      <Value>21</Value>
      <Value>58</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11388</FicheNumber>
    <DocumentPart xmlns="bfc960a6-20da-4c94-8684-71380fca093b">5</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DABB6F-88B8-4B58-A142-56C1E212A0D3}"/>
</file>

<file path=customXml/itemProps2.xml><?xml version="1.0" encoding="utf-8"?>
<ds:datastoreItem xmlns:ds="http://schemas.openxmlformats.org/officeDocument/2006/customXml" ds:itemID="{C08BFAFC-A116-409E-B71D-05C03BAC783B}"/>
</file>

<file path=customXml/itemProps3.xml><?xml version="1.0" encoding="utf-8"?>
<ds:datastoreItem xmlns:ds="http://schemas.openxmlformats.org/officeDocument/2006/customXml" ds:itemID="{88AEFD1E-5D74-4838-B3ED-C77483285D3D}"/>
</file>

<file path=customXml/itemProps4.xml><?xml version="1.0" encoding="utf-8"?>
<ds:datastoreItem xmlns:ds="http://schemas.openxmlformats.org/officeDocument/2006/customXml" ds:itemID="{7B1A11A6-5980-4F22-B119-0D4E2B0DB97B}"/>
</file>

<file path=docProps/app.xml><?xml version="1.0" encoding="utf-8"?>
<Properties xmlns="http://schemas.openxmlformats.org/officeDocument/2006/extended-properties" xmlns:vt="http://schemas.openxmlformats.org/officeDocument/2006/docPropsVTypes">
  <Template>Styles</Template>
  <TotalTime>5</TotalTime>
  <Pages>2</Pages>
  <Words>1195</Words>
  <Characters>6814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Pracovné dokumenty - Skupina 6A - Rozvinuté krajiny</dc:title>
  <cp:keywords>EESC-2019-05163-05-00-INFO-TRA-EN</cp:keywords>
  <dc:description>Rapporteur:  - Original language: EN - Date of document: 10/12/2019 - Date of meeting:  - External documents:  - Administrator: MME LAHOUSSE Chloé</dc:description>
  <cp:lastModifiedBy>Stanislava Semancikova</cp:lastModifiedBy>
  <cp:revision>5</cp:revision>
  <dcterms:created xsi:type="dcterms:W3CDTF">2019-11-15T11:30:00Z</dcterms:created>
  <dcterms:modified xsi:type="dcterms:W3CDTF">2019-12-10T08:22:00Z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11:50:56, 11:31:01</vt:lpwstr>
  </property>
  <property fmtid="{D5CDD505-2E9C-101B-9397-08002B2CF9AE}" pid="5" name="Pref_User">
    <vt:lpwstr>hnic, ssex</vt:lpwstr>
  </property>
  <property fmtid="{D5CDD505-2E9C-101B-9397-08002B2CF9AE}" pid="6" name="Pref_FileName">
    <vt:lpwstr>EESC-2019-05163-05-00-INFO-TRA-EN-CRR.docx, EESC-2019-05163-05-00-INFO-ORI.docx</vt:lpwstr>
  </property>
  <property fmtid="{D5CDD505-2E9C-101B-9397-08002B2CF9AE}" pid="7" name="ContentTypeId">
    <vt:lpwstr>0x010100EA97B91038054C99906057A708A1480A004A07B7D2C585754B97D3BEF52E07EE2D</vt:lpwstr>
  </property>
  <property fmtid="{D5CDD505-2E9C-101B-9397-08002B2CF9AE}" pid="8" name="_dlc_DocIdItemGuid">
    <vt:lpwstr>ca67913e-2d8c-4d2d-83f8-27c947cb449d</vt:lpwstr>
  </property>
  <property fmtid="{D5CDD505-2E9C-101B-9397-08002B2CF9AE}" pid="9" name="AvailableTranslations">
    <vt:lpwstr>63;#MT|7df99101-6854-4a26-b53a-b88c0da02c26;#152;#MK|34ce48bb-063e-4413-a932-50853dc71c5c;#162;#TR|6e4ededd-04c4-4fa0-94e0-1028050302d5;#64;#PT|50ccc04a-eadd-42ae-a0cb-acaf45f812ba;#16;#PL|1e03da61-4678-4e07-b136-b5024ca9197b;#25;#SK|46d9fce0-ef79-4f71-b89b-cd6aa82426b8;#62;#FI|87606a43-d45f-42d6-b8c9-e1a3457db5b7;#72;#GA|762d2456-c427-4ecb-b312-af3dad8e258c;#58;#LV|46f7e311-5d9f-4663-b433-18aeccb7ace7;#65;#ET|ff6c3f4c-b02c-4c3c-ab07-2c37995a7a0a;#14;#DE|f6b31e5a-26fa-4935-b661-318e46daf27e;#154;#SQ|5ac17240-8d11-45ec-9893-659b209d7a00;#46;#CS|72f9705b-0217-4fd3-bea2-cbc7ed80e26e;#48;#LT|a7ff5ce7-6123-4f68-865a-a57c31810414;#56;#SL|98a412ae-eb01-49e9-ae3d-585a81724cfc;#4;#EN|f2175f21-25d7-44a3-96da-d6a61b075e1b;#59;#HR|2f555653-ed1a-4fe6-8362-9082d95989e5;#52;#DA|5d49c027-8956-412b-aa16-e85a0f96ad0e;#10;#FR|d2afafd3-4c81-4f60-8f52-ee33f2f54ff3;#49;#EL|6d4f4d51-af9b-4650-94b4-4276bee85c91;#45;#NL|55c6556c-b4f4-441d-9acf-c498d4f838bd;#17;#ES|e7a6b05b-ae16-40c8-add9-68b64b03aeba;#153;#SR|7f3a1d13-b985-4bfd-981e-afe31377edff;#55;#BG|1a1b3951-7821-4e6a-85f5-5673fc08bd2c;#38;#SV|c2ed69e7-a339-43d7-8f22-d93680a92aa0;#246;#ME|925b3da5-5ac0-4b3c-928c-6ef66a5c9b3c;#21;#IT|0774613c-01ed-4e5d-a25d-11d2388de825;#60;#HU|6b229040-c589-4408-b4c1-4285663d20a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5</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T|7df99101-6854-4a26-b53a-b88c0da02c26;MK|34ce48bb-063e-4413-a932-50853dc71c5c;TR|6e4ededd-04c4-4fa0-94e0-1028050302d5;PT|50ccc04a-eadd-42ae-a0cb-acaf45f812ba;PL|1e03da61-4678-4e07-b136-b5024ca9197b;FI|87606a43-d45f-42d6-b8c9-e1a3457db5b7;SQ|5ac17240-8d11-45ec-9893-659b209d7a00;SL|98a412ae-eb01-49e9-ae3d-585a81724cfc;EN|f2175f21-25d7-44a3-96da-d6a61b075e1b;DA|5d49c027-8956-412b-aa16-e85a0f96ad0e;EL|6d4f4d51-af9b-4650-94b4-4276bee85c91;NL|55c6556c-b4f4-441d-9acf-c498d4f838bd;ES|e7a6b05b-ae16-40c8-add9-68b64b03aeba;SR|7f3a1d13-b985-4bfd-981e-afe31377edff;BG|1a1b3951-7821-4e6a-85f5-5673fc08bd2c;ME|925b3da5-5ac0-4b3c-928c-6ef66a5c9b3c;IT|0774613c-01ed-4e5d-a25d-11d2388de825</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153;#SR|7f3a1d13-b985-4bfd-981e-afe31377edff;#64;#PT|50ccc04a-eadd-42ae-a0cb-acaf45f812ba;#63;#MT|7df99101-6854-4a26-b53a-b88c0da02c26;#62;#FI|87606a43-d45f-42d6-b8c9-e1a3457db5b7;#246;#ME|925b3da5-5ac0-4b3c-928c-6ef66a5c9b3c;#152;#MK|34ce48bb-063e-4413-a932-50853dc71c5c;#56;#SL|98a412ae-eb01-49e9-ae3d-585a81724cfc;#55;#BG|1a1b3951-7821-4e6a-85f5-5673fc08bd2c;#17;#ES|e7a6b05b-ae16-40c8-add9-68b64b03aeba;#16;#PL|1e03da61-4678-4e07-b136-b5024ca9197b;#52;#DA|5d49c027-8956-412b-aa16-e85a0f96ad0e;#162;#TR|6e4ededd-04c4-4fa0-94e0-1028050302d5;#49;#EL|6d4f4d51-af9b-4650-94b4-4276bee85c91;#11;#INFO|d9136e7c-93a9-4c42-9d28-92b61e85f80c;#21;#IT|0774613c-01ed-4e5d-a25d-11d2388de825;#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11388</vt:i4>
  </property>
  <property fmtid="{D5CDD505-2E9C-101B-9397-08002B2CF9AE}" pid="37" name="DocumentLanguage">
    <vt:lpwstr>25;#SK|46d9fce0-ef79-4f71-b89b-cd6aa82426b8</vt:lpwstr>
  </property>
</Properties>
</file>